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5E" w:rsidRDefault="002A785E">
      <w:pPr>
        <w:spacing w:after="150"/>
        <w:rPr>
          <w:rFonts w:ascii="Arial" w:hAnsi="Arial" w:cs="Arial"/>
          <w:color w:val="000000"/>
          <w:sz w:val="24"/>
          <w:szCs w:val="24"/>
        </w:rPr>
      </w:pPr>
    </w:p>
    <w:p w:rsidR="002A785E" w:rsidRDefault="002A785E">
      <w:pPr>
        <w:spacing w:after="150"/>
        <w:rPr>
          <w:rFonts w:ascii="Arial" w:hAnsi="Arial" w:cs="Arial"/>
          <w:color w:val="000000"/>
          <w:sz w:val="24"/>
          <w:szCs w:val="24"/>
        </w:rPr>
      </w:pPr>
    </w:p>
    <w:p w:rsidR="00B05F49" w:rsidRPr="002A785E" w:rsidRDefault="002A785E">
      <w:pPr>
        <w:spacing w:after="150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>На основу члана 230а став 12. Закона о полицији (,,Службени гласник РС”, бр. 6/16 и 24/18),</w:t>
      </w:r>
    </w:p>
    <w:p w:rsidR="00B05F49" w:rsidRPr="002A785E" w:rsidRDefault="002A785E">
      <w:pPr>
        <w:spacing w:after="150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>Министар унутрашњих послова доноси</w:t>
      </w:r>
    </w:p>
    <w:p w:rsidR="002A785E" w:rsidRPr="002A785E" w:rsidRDefault="002A785E">
      <w:pPr>
        <w:spacing w:after="225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05F49" w:rsidRPr="002A785E" w:rsidRDefault="002A785E">
      <w:pPr>
        <w:spacing w:after="225"/>
        <w:jc w:val="center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b/>
          <w:color w:val="000000"/>
          <w:sz w:val="24"/>
          <w:szCs w:val="24"/>
        </w:rPr>
        <w:t>ПРАВИЛНИК</w:t>
      </w:r>
    </w:p>
    <w:p w:rsidR="00B05F49" w:rsidRPr="002A785E" w:rsidRDefault="002A785E">
      <w:pPr>
        <w:spacing w:after="225"/>
        <w:jc w:val="center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b/>
          <w:color w:val="000000"/>
          <w:sz w:val="24"/>
          <w:szCs w:val="24"/>
        </w:rPr>
        <w:t xml:space="preserve">о </w:t>
      </w:r>
      <w:r w:rsidRPr="002A785E">
        <w:rPr>
          <w:rFonts w:ascii="Arial" w:hAnsi="Arial" w:cs="Arial"/>
          <w:b/>
          <w:color w:val="000000"/>
          <w:sz w:val="24"/>
          <w:szCs w:val="24"/>
        </w:rPr>
        <w:t>начину спровођења теста интегритета</w:t>
      </w:r>
    </w:p>
    <w:p w:rsidR="00B05F49" w:rsidRPr="002A785E" w:rsidRDefault="002A785E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>"Службени гласник РС", број 39 од 25. маја 2018.</w:t>
      </w:r>
    </w:p>
    <w:p w:rsidR="00B05F49" w:rsidRPr="002A785E" w:rsidRDefault="002A785E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>Члан 1.</w:t>
      </w:r>
    </w:p>
    <w:p w:rsidR="00B05F49" w:rsidRPr="002A785E" w:rsidRDefault="002A785E">
      <w:pPr>
        <w:spacing w:after="150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 xml:space="preserve">Овим правилником ближе се уређује начин спровођења теста интегритета полицијских службеника и других запослених у Министарству унутрашњих послова (у даљем тексту: </w:t>
      </w:r>
      <w:r w:rsidRPr="002A785E">
        <w:rPr>
          <w:rFonts w:ascii="Arial" w:hAnsi="Arial" w:cs="Arial"/>
          <w:color w:val="000000"/>
          <w:sz w:val="24"/>
          <w:szCs w:val="24"/>
        </w:rPr>
        <w:t>Министарство), који спроводе полицијски службеници Сектора унутрашње контроле (у даљем тексту: полицијски службеници унутрашње контроле).</w:t>
      </w:r>
    </w:p>
    <w:p w:rsidR="00B05F49" w:rsidRPr="002A785E" w:rsidRDefault="002A785E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>Члан 2.</w:t>
      </w:r>
    </w:p>
    <w:p w:rsidR="00B05F49" w:rsidRPr="002A785E" w:rsidRDefault="002A785E">
      <w:pPr>
        <w:spacing w:after="150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>Тест интегритета спроводе полицијски службеници унутрашње контроле тако да се приликом спровођења теста интегр</w:t>
      </w:r>
      <w:r w:rsidRPr="002A785E">
        <w:rPr>
          <w:rFonts w:ascii="Arial" w:hAnsi="Arial" w:cs="Arial"/>
          <w:color w:val="000000"/>
          <w:sz w:val="24"/>
          <w:szCs w:val="24"/>
        </w:rPr>
        <w:t>итета не угрожава редовно обављање послова и задатака из надлежности тестираних, на поверљив начин, по унапред припремљеном и одобреном плану.</w:t>
      </w:r>
    </w:p>
    <w:p w:rsidR="00B05F49" w:rsidRPr="002A785E" w:rsidRDefault="002A785E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>Члан 3.</w:t>
      </w:r>
    </w:p>
    <w:p w:rsidR="00B05F49" w:rsidRPr="002A785E" w:rsidRDefault="002A785E">
      <w:pPr>
        <w:spacing w:after="150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>Сви подаци прикупљени током спровођења теста интегритета означавају се степеном тајности „ПОВЕРЉИВО”.</w:t>
      </w:r>
    </w:p>
    <w:p w:rsidR="00B05F49" w:rsidRPr="002A785E" w:rsidRDefault="002A785E">
      <w:pPr>
        <w:spacing w:after="150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>Пол</w:t>
      </w:r>
      <w:r w:rsidRPr="002A785E">
        <w:rPr>
          <w:rFonts w:ascii="Arial" w:hAnsi="Arial" w:cs="Arial"/>
          <w:color w:val="000000"/>
          <w:sz w:val="24"/>
          <w:szCs w:val="24"/>
        </w:rPr>
        <w:t>ицијски службеници унутрашње контроле који спроводе тест интегритета и сва лица којима се учине доступним подаци из става 1. овог члана, поступају у складу са прописима који регулишу тајност података.</w:t>
      </w:r>
    </w:p>
    <w:p w:rsidR="00B05F49" w:rsidRPr="002A785E" w:rsidRDefault="002A785E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>Члан 4.</w:t>
      </w:r>
    </w:p>
    <w:p w:rsidR="00B05F49" w:rsidRPr="002A785E" w:rsidRDefault="002A785E">
      <w:pPr>
        <w:spacing w:after="150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>Поступак спровођења теста интегритета полицијск</w:t>
      </w:r>
      <w:r w:rsidRPr="002A785E">
        <w:rPr>
          <w:rFonts w:ascii="Arial" w:hAnsi="Arial" w:cs="Arial"/>
          <w:color w:val="000000"/>
          <w:sz w:val="24"/>
          <w:szCs w:val="24"/>
        </w:rPr>
        <w:t>их службеника и других запослених у Министарству покреће се на писану и образложену иницијативу лица овлашћених законом, након чега начелник Сектора унутрашње контроле доноси Одлуку о испуњености услова за спровођење теста интегритета (у даљем тексту: Одлу</w:t>
      </w:r>
      <w:r w:rsidRPr="002A785E">
        <w:rPr>
          <w:rFonts w:ascii="Arial" w:hAnsi="Arial" w:cs="Arial"/>
          <w:color w:val="000000"/>
          <w:sz w:val="24"/>
          <w:szCs w:val="24"/>
        </w:rPr>
        <w:t>ка), у складу са законом.</w:t>
      </w:r>
    </w:p>
    <w:p w:rsidR="00B05F49" w:rsidRPr="002A785E" w:rsidRDefault="002A785E">
      <w:pPr>
        <w:spacing w:after="150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>Одлука се доноси на основу података и чињеница наведених у образложењу иницијативе које указују да је неопходно применити тест интегритета.</w:t>
      </w:r>
    </w:p>
    <w:p w:rsidR="00B05F49" w:rsidRPr="002A785E" w:rsidRDefault="002A785E">
      <w:pPr>
        <w:spacing w:after="150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>Одлука садржи податке о: подносиоцу иницијативе за спровођење теста интегритета, појави ко</w:t>
      </w:r>
      <w:r w:rsidRPr="002A785E">
        <w:rPr>
          <w:rFonts w:ascii="Arial" w:hAnsi="Arial" w:cs="Arial"/>
          <w:color w:val="000000"/>
          <w:sz w:val="24"/>
          <w:szCs w:val="24"/>
        </w:rPr>
        <w:t>ја је предмет тестирања, индикаторима на основу којих је донета и разлозима о прихватању или неприхватању иницијативе.</w:t>
      </w:r>
    </w:p>
    <w:p w:rsidR="00B05F49" w:rsidRPr="002A785E" w:rsidRDefault="002A785E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>Члан 5.</w:t>
      </w:r>
    </w:p>
    <w:p w:rsidR="00B05F49" w:rsidRPr="002A785E" w:rsidRDefault="002A785E">
      <w:pPr>
        <w:spacing w:after="150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lastRenderedPageBreak/>
        <w:t>На основу Одлуке којом се прихвата иницијатива сачињава се План за спровођење теста интегритета (у даљем тексту: План), који одоб</w:t>
      </w:r>
      <w:r w:rsidRPr="002A785E">
        <w:rPr>
          <w:rFonts w:ascii="Arial" w:hAnsi="Arial" w:cs="Arial"/>
          <w:color w:val="000000"/>
          <w:sz w:val="24"/>
          <w:szCs w:val="24"/>
        </w:rPr>
        <w:t>рава помоћник министра, начелник Сектора унутрашње контроле.</w:t>
      </w:r>
    </w:p>
    <w:p w:rsidR="00B05F49" w:rsidRPr="002A785E" w:rsidRDefault="002A785E">
      <w:pPr>
        <w:spacing w:after="150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>Тест интегритета може трајати најдуже дванаест месеци од дана одобрења Плана.</w:t>
      </w:r>
    </w:p>
    <w:p w:rsidR="00B05F49" w:rsidRPr="002A785E" w:rsidRDefault="002A785E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>Члан 6.</w:t>
      </w:r>
    </w:p>
    <w:p w:rsidR="00B05F49" w:rsidRPr="002A785E" w:rsidRDefault="002A785E">
      <w:pPr>
        <w:spacing w:after="150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>План садржи:</w:t>
      </w:r>
    </w:p>
    <w:p w:rsidR="00B05F49" w:rsidRPr="002A785E" w:rsidRDefault="002A785E">
      <w:pPr>
        <w:spacing w:after="150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>1) одлуку којом се прихвата иницијатива;</w:t>
      </w:r>
    </w:p>
    <w:p w:rsidR="00B05F49" w:rsidRPr="002A785E" w:rsidRDefault="002A785E">
      <w:pPr>
        <w:spacing w:after="150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>2) анализу прикупљених података који се односе на уочен</w:t>
      </w:r>
      <w:r w:rsidRPr="002A785E">
        <w:rPr>
          <w:rFonts w:ascii="Arial" w:hAnsi="Arial" w:cs="Arial"/>
          <w:color w:val="000000"/>
          <w:sz w:val="24"/>
          <w:szCs w:val="24"/>
        </w:rPr>
        <w:t>у појаву;</w:t>
      </w:r>
    </w:p>
    <w:p w:rsidR="00B05F49" w:rsidRPr="002A785E" w:rsidRDefault="002A785E">
      <w:pPr>
        <w:spacing w:after="150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>3) детаљне податке о месту, времену и трајању тестирања;</w:t>
      </w:r>
    </w:p>
    <w:p w:rsidR="00B05F49" w:rsidRPr="002A785E" w:rsidRDefault="002A785E">
      <w:pPr>
        <w:spacing w:after="150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>4) предвиђене прикривене активности полицијских службеника унутрашње контроле који непосредно спроводе тест интегритета са безбедносном проценом спровођења тестирања;</w:t>
      </w:r>
    </w:p>
    <w:p w:rsidR="00B05F49" w:rsidRPr="002A785E" w:rsidRDefault="002A785E">
      <w:pPr>
        <w:spacing w:after="150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>5) спецификацију матер</w:t>
      </w:r>
      <w:r w:rsidRPr="002A785E">
        <w:rPr>
          <w:rFonts w:ascii="Arial" w:hAnsi="Arial" w:cs="Arial"/>
          <w:color w:val="000000"/>
          <w:sz w:val="24"/>
          <w:szCs w:val="24"/>
        </w:rPr>
        <w:t>ијално-техничких и новчаних средстава који се користе приликом спровођења теста интегритета и потребних легендираних средстава и докумената неопходних за успешно спровођење теста интегритета;</w:t>
      </w:r>
    </w:p>
    <w:p w:rsidR="00B05F49" w:rsidRPr="002A785E" w:rsidRDefault="002A785E">
      <w:pPr>
        <w:spacing w:after="150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 xml:space="preserve">6) све друге информације које су релевантне за успешно </w:t>
      </w:r>
      <w:r w:rsidRPr="002A785E">
        <w:rPr>
          <w:rFonts w:ascii="Arial" w:hAnsi="Arial" w:cs="Arial"/>
          <w:color w:val="000000"/>
          <w:sz w:val="24"/>
          <w:szCs w:val="24"/>
        </w:rPr>
        <w:t>спровођење теста интегритета.</w:t>
      </w:r>
    </w:p>
    <w:p w:rsidR="00B05F49" w:rsidRPr="002A785E" w:rsidRDefault="002A785E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>Члан 7.</w:t>
      </w:r>
    </w:p>
    <w:p w:rsidR="00B05F49" w:rsidRPr="002A785E" w:rsidRDefault="002A785E">
      <w:pPr>
        <w:spacing w:after="150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>Приликом спровођења теста интегритета, у случају да тестирани затражи одређена добра, услуге, привилегије, погодности или предмете, полицијски службеници унутрашње контроле који спроводе тест интегритета, могу тестиран</w:t>
      </w:r>
      <w:r w:rsidRPr="002A785E">
        <w:rPr>
          <w:rFonts w:ascii="Arial" w:hAnsi="Arial" w:cs="Arial"/>
          <w:color w:val="000000"/>
          <w:sz w:val="24"/>
          <w:szCs w:val="24"/>
        </w:rPr>
        <w:t>ом да предају тражена добра, прихвате услугу, омогуће привилегије, омогуће погодности или да тестираном предају тражене предмете, што ће као могућност бити наведено у Плану, а накнадно ће бити детаљно описано у извештају о спроведеном тесту интегритета.</w:t>
      </w:r>
    </w:p>
    <w:p w:rsidR="00B05F49" w:rsidRPr="002A785E" w:rsidRDefault="002A785E">
      <w:pPr>
        <w:spacing w:after="150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>По</w:t>
      </w:r>
      <w:r w:rsidRPr="002A785E">
        <w:rPr>
          <w:rFonts w:ascii="Arial" w:hAnsi="Arial" w:cs="Arial"/>
          <w:color w:val="000000"/>
          <w:sz w:val="24"/>
          <w:szCs w:val="24"/>
        </w:rPr>
        <w:t>ступци полицијских службеника Сектора, који спроводе тест интегритета, а који имају елементе противправности или повреде службене дужности неће се сматрати као такви, уколико је њихово предузимање неопходно да би се остварила сврха спровођења теста интегри</w:t>
      </w:r>
      <w:r w:rsidRPr="002A785E">
        <w:rPr>
          <w:rFonts w:ascii="Arial" w:hAnsi="Arial" w:cs="Arial"/>
          <w:color w:val="000000"/>
          <w:sz w:val="24"/>
          <w:szCs w:val="24"/>
        </w:rPr>
        <w:t>тета и као такви морају бити предвиђени Планом.</w:t>
      </w:r>
    </w:p>
    <w:p w:rsidR="00B05F49" w:rsidRPr="002A785E" w:rsidRDefault="002A785E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>Члан 8.</w:t>
      </w:r>
    </w:p>
    <w:p w:rsidR="00B05F49" w:rsidRPr="002A785E" w:rsidRDefault="002A785E">
      <w:pPr>
        <w:spacing w:after="150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 xml:space="preserve">Полицијски службеници унутрашње контроле који непосредно спроводе тест интегритета, приликом његовог спровођења могу да користе новчана средства предвиђена за посебне оперативне потребе, сходно члану </w:t>
      </w:r>
      <w:r w:rsidRPr="002A785E">
        <w:rPr>
          <w:rFonts w:ascii="Arial" w:hAnsi="Arial" w:cs="Arial"/>
          <w:color w:val="000000"/>
          <w:sz w:val="24"/>
          <w:szCs w:val="24"/>
        </w:rPr>
        <w:t>246. Закона о полицији.</w:t>
      </w:r>
    </w:p>
    <w:p w:rsidR="00B05F49" w:rsidRPr="002A785E" w:rsidRDefault="002A785E">
      <w:pPr>
        <w:spacing w:after="150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lastRenderedPageBreak/>
        <w:t>Приликом спровођења теста интегритета полицијски службеници унутрашње контроле користе материјално-техничка средства опредељена за спровођење Плана, а могу у случају потребе да користе и материјално-техничка средства других организа</w:t>
      </w:r>
      <w:r w:rsidRPr="002A785E">
        <w:rPr>
          <w:rFonts w:ascii="Arial" w:hAnsi="Arial" w:cs="Arial"/>
          <w:color w:val="000000"/>
          <w:sz w:val="24"/>
          <w:szCs w:val="24"/>
        </w:rPr>
        <w:t>ционих јединица Министарства.</w:t>
      </w:r>
    </w:p>
    <w:p w:rsidR="00B05F49" w:rsidRPr="002A785E" w:rsidRDefault="002A785E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>Члан 9.</w:t>
      </w:r>
    </w:p>
    <w:p w:rsidR="00B05F49" w:rsidRPr="002A785E" w:rsidRDefault="002A785E">
      <w:pPr>
        <w:spacing w:after="150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>Полицијски службеници унутрашње контроле сачињавају извештај о спроведеном тесту интегритета који садржи:</w:t>
      </w:r>
    </w:p>
    <w:p w:rsidR="00B05F49" w:rsidRPr="002A785E" w:rsidRDefault="002A785E">
      <w:pPr>
        <w:spacing w:after="150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 xml:space="preserve">1) опис активности предузетих приликом спроведеног тестирања које су извршене у складу са Планом из члана 6. </w:t>
      </w:r>
      <w:r w:rsidRPr="002A785E">
        <w:rPr>
          <w:rFonts w:ascii="Arial" w:hAnsi="Arial" w:cs="Arial"/>
          <w:color w:val="000000"/>
          <w:sz w:val="24"/>
          <w:szCs w:val="24"/>
        </w:rPr>
        <w:t>овога правилника и друге релевантне чињенице од значаја за спровођење теста интегритета;</w:t>
      </w:r>
    </w:p>
    <w:p w:rsidR="00B05F49" w:rsidRPr="002A785E" w:rsidRDefault="002A785E">
      <w:pPr>
        <w:spacing w:after="150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>2) описану реакцију и поступање тестираног;</w:t>
      </w:r>
    </w:p>
    <w:p w:rsidR="00B05F49" w:rsidRPr="002A785E" w:rsidRDefault="002A785E">
      <w:pPr>
        <w:spacing w:after="150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>3) резултат о спроведеном тесту интегритета.</w:t>
      </w:r>
    </w:p>
    <w:p w:rsidR="00B05F49" w:rsidRPr="002A785E" w:rsidRDefault="002A785E">
      <w:pPr>
        <w:spacing w:after="150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>Видео и аудио записи сачињени приликом спровођења теста интегритета представља</w:t>
      </w:r>
      <w:r w:rsidRPr="002A785E">
        <w:rPr>
          <w:rFonts w:ascii="Arial" w:hAnsi="Arial" w:cs="Arial"/>
          <w:color w:val="000000"/>
          <w:sz w:val="24"/>
          <w:szCs w:val="24"/>
        </w:rPr>
        <w:t>ју прилог извештаја о спроведеном тесту интегритета и чине његов саставни део.</w:t>
      </w:r>
    </w:p>
    <w:p w:rsidR="00B05F49" w:rsidRPr="002A785E" w:rsidRDefault="002A785E">
      <w:pPr>
        <w:spacing w:after="150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>Руководилац организационе јединице Сектора надлежне за спровођење теста интегритета подноси извештај о спровођењу теста интегритета помоћнику министра, начелнику Сектора.</w:t>
      </w:r>
    </w:p>
    <w:p w:rsidR="00B05F49" w:rsidRPr="002A785E" w:rsidRDefault="002A785E">
      <w:pPr>
        <w:spacing w:after="150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>Извешт</w:t>
      </w:r>
      <w:r w:rsidRPr="002A785E">
        <w:rPr>
          <w:rFonts w:ascii="Arial" w:hAnsi="Arial" w:cs="Arial"/>
          <w:color w:val="000000"/>
          <w:sz w:val="24"/>
          <w:szCs w:val="24"/>
        </w:rPr>
        <w:t>ај се сачињава најкасније у року од 15 дана од дана завршетка спровођења теста интегритета.</w:t>
      </w:r>
    </w:p>
    <w:p w:rsidR="00B05F49" w:rsidRPr="002A785E" w:rsidRDefault="002A785E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>Члан 10.</w:t>
      </w:r>
    </w:p>
    <w:p w:rsidR="00B05F49" w:rsidRPr="002A785E" w:rsidRDefault="002A785E">
      <w:pPr>
        <w:spacing w:after="150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>Сматраће се да спроведени тест интегритета полицијских службеника и других запослених у Министарству има позитиван резултат у ситуацији када је тестирани д</w:t>
      </w:r>
      <w:r w:rsidRPr="002A785E">
        <w:rPr>
          <w:rFonts w:ascii="Arial" w:hAnsi="Arial" w:cs="Arial"/>
          <w:color w:val="000000"/>
          <w:sz w:val="24"/>
          <w:szCs w:val="24"/>
        </w:rPr>
        <w:t>оказао свој професионални интегритет тако што током поступања у обављању послова из свог делокруга није испољио противправно понашање или склоност корупцији.</w:t>
      </w:r>
    </w:p>
    <w:p w:rsidR="00B05F49" w:rsidRPr="002A785E" w:rsidRDefault="002A785E">
      <w:pPr>
        <w:spacing w:after="150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>У случају позитивног резултата теста интегритета, када је тестирање показало да тестирани нема скл</w:t>
      </w:r>
      <w:r w:rsidRPr="002A785E">
        <w:rPr>
          <w:rFonts w:ascii="Arial" w:hAnsi="Arial" w:cs="Arial"/>
          <w:color w:val="000000"/>
          <w:sz w:val="24"/>
          <w:szCs w:val="24"/>
        </w:rPr>
        <w:t>оности ка противправном поступању и коруптивном понашању, Сектор ће о томе писаним путем обавестити подносиоца иницијативе и овлашћеног руководиоца организационе јединице Министарства у којој је распоређен тестирани, у року од 30 дана од дана окончања тест</w:t>
      </w:r>
      <w:r w:rsidRPr="002A785E">
        <w:rPr>
          <w:rFonts w:ascii="Arial" w:hAnsi="Arial" w:cs="Arial"/>
          <w:color w:val="000000"/>
          <w:sz w:val="24"/>
          <w:szCs w:val="24"/>
        </w:rPr>
        <w:t>ирања.</w:t>
      </w:r>
    </w:p>
    <w:p w:rsidR="00B05F49" w:rsidRPr="002A785E" w:rsidRDefault="002A785E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>Члан 11.</w:t>
      </w:r>
    </w:p>
    <w:p w:rsidR="00B05F49" w:rsidRPr="002A785E" w:rsidRDefault="002A785E">
      <w:pPr>
        <w:spacing w:after="150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 xml:space="preserve">У случају негативног резултата теста интегритета, Сектор у року од 30 дана од дана завршетка тестирања, доставља извештај о спроведеном теста интегритета са прикупљеним доказима подносиоцу иницијативе и овлашћеном руководиоцу организационе </w:t>
      </w:r>
      <w:r w:rsidRPr="002A785E">
        <w:rPr>
          <w:rFonts w:ascii="Arial" w:hAnsi="Arial" w:cs="Arial"/>
          <w:color w:val="000000"/>
          <w:sz w:val="24"/>
          <w:szCs w:val="24"/>
        </w:rPr>
        <w:t>јединице Министарства у којој је распоређен тестирани, ради покретања и вођења дисциплинског поступка према тестираном.</w:t>
      </w:r>
    </w:p>
    <w:p w:rsidR="00B05F49" w:rsidRPr="002A785E" w:rsidRDefault="002A785E">
      <w:pPr>
        <w:spacing w:after="150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>У случају када Сектор након спроведеног тестирања који има негативни резултат, према тестираном настави поступање по налогу надлежног ја</w:t>
      </w:r>
      <w:r w:rsidRPr="002A785E">
        <w:rPr>
          <w:rFonts w:ascii="Arial" w:hAnsi="Arial" w:cs="Arial"/>
          <w:color w:val="000000"/>
          <w:sz w:val="24"/>
          <w:szCs w:val="24"/>
        </w:rPr>
        <w:t>вног тужиоца, а у складу са одредбама закона којим се уређује кривични поступак, може се одложити достављање извештаја.</w:t>
      </w:r>
    </w:p>
    <w:p w:rsidR="00B05F49" w:rsidRPr="002A785E" w:rsidRDefault="002A785E">
      <w:pPr>
        <w:spacing w:after="150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>Видео и аудио записи прилажу се уз извештај о спроведеном тесту интегритета на такав начин да се лица, гласови, регистарске ознаке и све</w:t>
      </w:r>
      <w:r w:rsidRPr="002A785E">
        <w:rPr>
          <w:rFonts w:ascii="Arial" w:hAnsi="Arial" w:cs="Arial"/>
          <w:color w:val="000000"/>
          <w:sz w:val="24"/>
          <w:szCs w:val="24"/>
        </w:rPr>
        <w:t xml:space="preserve"> што се не односи на тестираног учине непрепознатљивим из разлога заштите поверљивости полицијских службеника унутрашње контроле који спроводе тестирање, као и других лица.</w:t>
      </w:r>
    </w:p>
    <w:p w:rsidR="00B05F49" w:rsidRPr="002A785E" w:rsidRDefault="002A785E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>Члан 12.</w:t>
      </w:r>
    </w:p>
    <w:p w:rsidR="00B05F49" w:rsidRDefault="002A785E">
      <w:pPr>
        <w:spacing w:after="150"/>
        <w:rPr>
          <w:rFonts w:ascii="Arial" w:hAnsi="Arial" w:cs="Arial"/>
          <w:color w:val="000000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 xml:space="preserve">Овај правилник ступа на снагу осмог дана од дана објављивања у „Службеном </w:t>
      </w:r>
      <w:r w:rsidRPr="002A785E">
        <w:rPr>
          <w:rFonts w:ascii="Arial" w:hAnsi="Arial" w:cs="Arial"/>
          <w:color w:val="000000"/>
          <w:sz w:val="24"/>
          <w:szCs w:val="24"/>
        </w:rPr>
        <w:t>гласнику Републике Србије”.</w:t>
      </w:r>
    </w:p>
    <w:p w:rsidR="002A785E" w:rsidRPr="002A785E" w:rsidRDefault="002A785E">
      <w:pPr>
        <w:spacing w:after="150"/>
        <w:rPr>
          <w:rFonts w:ascii="Arial" w:hAnsi="Arial" w:cs="Arial"/>
          <w:sz w:val="24"/>
          <w:szCs w:val="24"/>
        </w:rPr>
      </w:pPr>
    </w:p>
    <w:p w:rsidR="00B05F49" w:rsidRPr="002A785E" w:rsidRDefault="002A785E">
      <w:pPr>
        <w:spacing w:after="150"/>
        <w:jc w:val="right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>01 број 3962/18-3</w:t>
      </w:r>
    </w:p>
    <w:p w:rsidR="00B05F49" w:rsidRPr="002A785E" w:rsidRDefault="002A785E">
      <w:pPr>
        <w:spacing w:after="150"/>
        <w:jc w:val="right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>У Београду, 18. маја 2018. године</w:t>
      </w:r>
    </w:p>
    <w:p w:rsidR="00B05F49" w:rsidRPr="002A785E" w:rsidRDefault="002A785E">
      <w:pPr>
        <w:spacing w:after="150"/>
        <w:jc w:val="right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>Министар,</w:t>
      </w:r>
    </w:p>
    <w:p w:rsidR="00B05F49" w:rsidRPr="002A785E" w:rsidRDefault="002A785E">
      <w:pPr>
        <w:spacing w:after="150"/>
        <w:jc w:val="right"/>
        <w:rPr>
          <w:rFonts w:ascii="Arial" w:hAnsi="Arial" w:cs="Arial"/>
          <w:sz w:val="24"/>
          <w:szCs w:val="24"/>
        </w:rPr>
      </w:pPr>
      <w:r w:rsidRPr="002A785E">
        <w:rPr>
          <w:rFonts w:ascii="Arial" w:hAnsi="Arial" w:cs="Arial"/>
          <w:color w:val="000000"/>
          <w:sz w:val="24"/>
          <w:szCs w:val="24"/>
        </w:rPr>
        <w:t xml:space="preserve">др </w:t>
      </w:r>
      <w:r w:rsidRPr="002A785E">
        <w:rPr>
          <w:rFonts w:ascii="Arial" w:hAnsi="Arial" w:cs="Arial"/>
          <w:b/>
          <w:color w:val="000000"/>
          <w:sz w:val="24"/>
          <w:szCs w:val="24"/>
        </w:rPr>
        <w:t>Небојша Стефановић,</w:t>
      </w:r>
      <w:r w:rsidRPr="002A785E">
        <w:rPr>
          <w:rFonts w:ascii="Arial" w:hAnsi="Arial" w:cs="Arial"/>
          <w:color w:val="000000"/>
          <w:sz w:val="24"/>
          <w:szCs w:val="24"/>
        </w:rPr>
        <w:t xml:space="preserve"> с.р.</w:t>
      </w:r>
    </w:p>
    <w:sectPr w:rsidR="00B05F49" w:rsidRPr="002A785E" w:rsidSect="002A785E">
      <w:pgSz w:w="11907" w:h="16839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/>
  <w:rsids>
    <w:rsidRoot w:val="00B05F49"/>
    <w:rsid w:val="002A785E"/>
    <w:rsid w:val="00B0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B05F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5F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B05F4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5657</Characters>
  <Application>Microsoft Office Word</Application>
  <DocSecurity>0</DocSecurity>
  <Lines>47</Lines>
  <Paragraphs>13</Paragraphs>
  <ScaleCrop>false</ScaleCrop>
  <Company>MUP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Beba Valcic</cp:lastModifiedBy>
  <cp:revision>2</cp:revision>
  <dcterms:created xsi:type="dcterms:W3CDTF">2018-05-29T11:23:00Z</dcterms:created>
  <dcterms:modified xsi:type="dcterms:W3CDTF">2018-05-29T11:24:00Z</dcterms:modified>
</cp:coreProperties>
</file>